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24E6" w:rsidRDefault="0030595C">
      <w:pPr>
        <w:rPr>
          <w:lang w:val="en-CA"/>
        </w:rPr>
      </w:pPr>
      <w:r>
        <w:rPr>
          <w:lang w:val="en-CA"/>
        </w:rPr>
        <w:t>Water Quality levels for Irrigation</w:t>
      </w:r>
    </w:p>
    <w:p w:rsidR="0030595C" w:rsidRDefault="0030595C">
      <w:pPr>
        <w:rPr>
          <w:lang w:val="en-CA"/>
        </w:rPr>
      </w:pPr>
      <w:hyperlink r:id="rId4" w:history="1">
        <w:r w:rsidRPr="00EB79F9">
          <w:rPr>
            <w:rStyle w:val="Hyperlink"/>
            <w:lang w:val="en-CA"/>
          </w:rPr>
          <w:t>http://www.fao.org/docrep/003/T0234E/T0234E06.htm</w:t>
        </w:r>
      </w:hyperlink>
    </w:p>
    <w:p w:rsidR="0030595C" w:rsidRDefault="0030595C" w:rsidP="0030595C">
      <w:r>
        <w:rPr>
          <w:rFonts w:ascii="Arial" w:hAnsi="Arial" w:cs="Arial"/>
          <w:color w:val="000000"/>
        </w:rPr>
        <w:br/>
      </w:r>
    </w:p>
    <w:tbl>
      <w:tblPr>
        <w:tblW w:w="5000" w:type="pct"/>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702"/>
        <w:gridCol w:w="2058"/>
        <w:gridCol w:w="5600"/>
      </w:tblGrid>
      <w:tr w:rsidR="0030595C" w:rsidTr="0030595C">
        <w:trPr>
          <w:tblCellSpacing w:w="0" w:type="dxa"/>
        </w:trPr>
        <w:tc>
          <w:tcPr>
            <w:tcW w:w="0" w:type="auto"/>
            <w:gridSpan w:val="3"/>
            <w:tcBorders>
              <w:top w:val="nil"/>
              <w:left w:val="nil"/>
              <w:bottom w:val="nil"/>
              <w:right w:val="nil"/>
            </w:tcBorders>
            <w:vAlign w:val="center"/>
            <w:hideMark/>
          </w:tcPr>
          <w:p w:rsidR="0030595C" w:rsidRDefault="0030595C">
            <w:pPr>
              <w:jc w:val="center"/>
              <w:rPr>
                <w:rFonts w:ascii="Arial" w:hAnsi="Arial" w:cs="Arial"/>
                <w:sz w:val="24"/>
                <w:szCs w:val="24"/>
              </w:rPr>
            </w:pPr>
            <w:bookmarkStart w:id="0" w:name="tab21"/>
            <w:bookmarkEnd w:id="0"/>
            <w:r>
              <w:rPr>
                <w:rFonts w:ascii="Arial" w:hAnsi="Arial" w:cs="Arial"/>
                <w:b/>
                <w:bCs/>
                <w:u w:val="single"/>
              </w:rPr>
              <w:t>Table 21</w:t>
            </w:r>
            <w:r>
              <w:rPr>
                <w:rStyle w:val="apple-converted-space"/>
                <w:rFonts w:ascii="Arial" w:hAnsi="Arial" w:cs="Arial"/>
                <w:b/>
                <w:bCs/>
              </w:rPr>
              <w:t> </w:t>
            </w:r>
            <w:r>
              <w:rPr>
                <w:rFonts w:ascii="Arial" w:hAnsi="Arial" w:cs="Arial"/>
                <w:b/>
                <w:bCs/>
              </w:rPr>
              <w:t>RECOMMENDED MAXIMUM CONCENTRATIONS OF TRACE ELEMENTS IN IRRIGATION WATER</w:t>
            </w:r>
            <w:hyperlink r:id="rId5" w:anchor="19note1" w:history="1">
              <w:r>
                <w:rPr>
                  <w:rStyle w:val="Hyperlink"/>
                  <w:rFonts w:ascii="Arial" w:hAnsi="Arial" w:cs="Arial"/>
                  <w:b/>
                  <w:bCs/>
                  <w:color w:val="207C72"/>
                  <w:sz w:val="16"/>
                  <w:szCs w:val="16"/>
                  <w:vertAlign w:val="superscript"/>
                </w:rPr>
                <w:t>1</w:t>
              </w:r>
            </w:hyperlink>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jc w:val="center"/>
              <w:rPr>
                <w:rFonts w:ascii="Arial" w:hAnsi="Arial" w:cs="Arial"/>
                <w:b/>
                <w:bCs/>
                <w:sz w:val="20"/>
                <w:szCs w:val="20"/>
              </w:rPr>
            </w:pPr>
            <w:r>
              <w:rPr>
                <w:rFonts w:ascii="Arial" w:hAnsi="Arial" w:cs="Arial"/>
                <w:b/>
                <w:bCs/>
                <w:sz w:val="20"/>
                <w:szCs w:val="20"/>
              </w:rPr>
              <w:t>Element</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jc w:val="center"/>
              <w:rPr>
                <w:rFonts w:ascii="Arial" w:hAnsi="Arial" w:cs="Arial"/>
                <w:b/>
                <w:bCs/>
                <w:sz w:val="20"/>
                <w:szCs w:val="20"/>
              </w:rPr>
            </w:pPr>
            <w:r>
              <w:rPr>
                <w:rFonts w:ascii="Arial" w:hAnsi="Arial" w:cs="Arial"/>
                <w:b/>
                <w:bCs/>
                <w:sz w:val="20"/>
                <w:szCs w:val="20"/>
              </w:rPr>
              <w:t>Recommended Maximum Concentration</w:t>
            </w:r>
            <w:hyperlink r:id="rId6" w:anchor="19note2" w:history="1">
              <w:r>
                <w:rPr>
                  <w:rStyle w:val="Hyperlink"/>
                  <w:rFonts w:ascii="Arial" w:hAnsi="Arial" w:cs="Arial"/>
                  <w:b/>
                  <w:bCs/>
                  <w:color w:val="207C72"/>
                  <w:sz w:val="16"/>
                  <w:szCs w:val="16"/>
                  <w:vertAlign w:val="superscript"/>
                </w:rPr>
                <w:t>2</w:t>
              </w:r>
            </w:hyperlink>
            <w:r>
              <w:rPr>
                <w:rFonts w:ascii="Arial" w:hAnsi="Arial" w:cs="Arial"/>
                <w:b/>
                <w:bCs/>
                <w:sz w:val="20"/>
                <w:szCs w:val="20"/>
              </w:rPr>
              <w:br/>
              <w:t>(mg/l)</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jc w:val="center"/>
              <w:rPr>
                <w:rFonts w:ascii="Arial" w:hAnsi="Arial" w:cs="Arial"/>
                <w:b/>
                <w:bCs/>
                <w:sz w:val="20"/>
                <w:szCs w:val="20"/>
              </w:rPr>
            </w:pPr>
            <w:r>
              <w:rPr>
                <w:rFonts w:ascii="Arial" w:hAnsi="Arial" w:cs="Arial"/>
                <w:b/>
                <w:bCs/>
                <w:sz w:val="20"/>
                <w:szCs w:val="20"/>
              </w:rPr>
              <w:t>Remarks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Al(</w:t>
            </w:r>
            <w:proofErr w:type="spellStart"/>
            <w:r>
              <w:rPr>
                <w:rFonts w:ascii="Arial" w:hAnsi="Arial" w:cs="Arial"/>
                <w:sz w:val="20"/>
                <w:szCs w:val="20"/>
              </w:rPr>
              <w:t>aluminium</w:t>
            </w:r>
            <w:proofErr w:type="spellEnd"/>
            <w:r>
              <w:rPr>
                <w:rFonts w:ascii="Arial" w:hAnsi="Arial" w:cs="Arial"/>
                <w:sz w:val="20"/>
                <w:szCs w:val="20"/>
              </w:rPr>
              <w:t>)</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Can cause non-productivity in acid soils (pH &lt; 5.5), but more alkaline soils at pH &gt; 7.0 will precipitate the ion and eliminate any toxicity.</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As (arsenic)</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0.10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Toxicity to plants varies widely, ranging from 12 mg/l for Sudan grass to less than 0.05 mg/l for rice.</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Be (beryllium)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0.10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Toxicity to plants varies widely, ranging from 5 mg/l for kale to 0.5 mg/l for bush beans.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Cd (cadmium)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0.01</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beans, beets and turnips at concentrations as low as 0.1 mg/l in nutrient solutions. Conservative limits recommended due to its potential for accumulation in plants and soils to concentrations that may be harmful to humans.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Co (cobalt)</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0.05</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tomato plants at 0.1 mg/l in nutrient solution. Tends to be inactivated by neutral and alkaline soils.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Cr (chromium)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0.10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Not generally recognized as an essential growth element. Con-</w:t>
            </w:r>
            <w:proofErr w:type="spellStart"/>
            <w:r>
              <w:rPr>
                <w:rFonts w:ascii="Arial" w:hAnsi="Arial" w:cs="Arial"/>
                <w:sz w:val="20"/>
                <w:szCs w:val="20"/>
              </w:rPr>
              <w:t>servative</w:t>
            </w:r>
            <w:proofErr w:type="spellEnd"/>
            <w:r>
              <w:rPr>
                <w:rFonts w:ascii="Arial" w:hAnsi="Arial" w:cs="Arial"/>
                <w:sz w:val="20"/>
                <w:szCs w:val="20"/>
              </w:rPr>
              <w:t xml:space="preserve"> limits recommended due to lack of knowledge on its toxicity to plants.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Cu (copper)</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0.20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a number of plants at 0.1 to 1.0 mg/l in nutrient solutions.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proofErr w:type="gramStart"/>
            <w:r>
              <w:rPr>
                <w:rFonts w:ascii="Arial" w:hAnsi="Arial" w:cs="Arial"/>
                <w:sz w:val="20"/>
                <w:szCs w:val="20"/>
              </w:rPr>
              <w:t>F  (</w:t>
            </w:r>
            <w:proofErr w:type="gramEnd"/>
            <w:r>
              <w:rPr>
                <w:rFonts w:ascii="Arial" w:hAnsi="Arial" w:cs="Arial"/>
                <w:sz w:val="20"/>
                <w:szCs w:val="20"/>
              </w:rPr>
              <w:t>fluoride)</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Inactivated by neutral and alkaline soils.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Fe (iron)</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Not toxic to plants in aerated soils, but can contribute to soil acidification and loss of availability of essential phosphorus and molybdenum. Overhead sprinkling may result in unsightly deposits on plants, equipment and buildings.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Li (lithium)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Tolerated by most crops up to 5 mg/l; mobile in soil. Toxic to citrus at low concentrations (&lt;0.075 mg/l). Acts similarly to boron.</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proofErr w:type="spellStart"/>
            <w:r>
              <w:rPr>
                <w:rFonts w:ascii="Arial" w:hAnsi="Arial" w:cs="Arial"/>
                <w:sz w:val="20"/>
                <w:szCs w:val="20"/>
              </w:rPr>
              <w:lastRenderedPageBreak/>
              <w:t>Mn</w:t>
            </w:r>
            <w:proofErr w:type="spellEnd"/>
            <w:r>
              <w:rPr>
                <w:rFonts w:ascii="Arial" w:hAnsi="Arial" w:cs="Arial"/>
                <w:sz w:val="20"/>
                <w:szCs w:val="20"/>
              </w:rPr>
              <w:t xml:space="preserve"> (manganese)</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0.20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a number of crops at a few-tenths to a few mg/l, but usually only in acid soils.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Mo (molybdenum)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0.01</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Not toxic to plants at normal concentrations in soil and water. Can be toxic to livestock if forage is grown in soils with high concentrations of available molybdenum.</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Ni (nickel)</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0.20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 xml:space="preserve">Toxic to a number of plants at 0.5 mg/l to 1.0 mg/l; reduced toxicity at neutral or alkaline </w:t>
            </w:r>
            <w:proofErr w:type="spellStart"/>
            <w:r>
              <w:rPr>
                <w:rFonts w:ascii="Arial" w:hAnsi="Arial" w:cs="Arial"/>
                <w:sz w:val="20"/>
                <w:szCs w:val="20"/>
              </w:rPr>
              <w:t>pH.</w:t>
            </w:r>
            <w:proofErr w:type="spellEnd"/>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proofErr w:type="spellStart"/>
            <w:r>
              <w:rPr>
                <w:rFonts w:ascii="Arial" w:hAnsi="Arial" w:cs="Arial"/>
                <w:sz w:val="20"/>
                <w:szCs w:val="20"/>
              </w:rPr>
              <w:t>Pd</w:t>
            </w:r>
            <w:proofErr w:type="spellEnd"/>
            <w:r>
              <w:rPr>
                <w:rFonts w:ascii="Arial" w:hAnsi="Arial" w:cs="Arial"/>
                <w:sz w:val="20"/>
                <w:szCs w:val="20"/>
              </w:rPr>
              <w:t xml:space="preserve"> (lead)</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Can inhibit plant cell growth at very high concentrations.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Se (selenium)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0.02</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plants at concentrations as low as 0.025 mg/l and toxic to livestock if forage is grown in soils with relatively high levels of added selenium. An essential element to animals but in very low concentrations.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Sn (tin)</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 </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proofErr w:type="spellStart"/>
            <w:proofErr w:type="gramStart"/>
            <w:r>
              <w:rPr>
                <w:rFonts w:ascii="Arial" w:hAnsi="Arial" w:cs="Arial"/>
                <w:sz w:val="20"/>
                <w:szCs w:val="20"/>
              </w:rPr>
              <w:t>Ti</w:t>
            </w:r>
            <w:proofErr w:type="spellEnd"/>
            <w:r>
              <w:rPr>
                <w:rFonts w:ascii="Arial" w:hAnsi="Arial" w:cs="Arial"/>
                <w:sz w:val="20"/>
                <w:szCs w:val="20"/>
              </w:rPr>
              <w:t xml:space="preserve">  (</w:t>
            </w:r>
            <w:proofErr w:type="gramEnd"/>
            <w:r>
              <w:rPr>
                <w:rFonts w:ascii="Arial" w:hAnsi="Arial" w:cs="Arial"/>
                <w:sz w:val="20"/>
                <w:szCs w:val="20"/>
              </w:rPr>
              <w:t>titanium)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Effectively excluded by plants; specific tolerance unknown.</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proofErr w:type="gramStart"/>
            <w:r>
              <w:rPr>
                <w:rFonts w:ascii="Arial" w:hAnsi="Arial" w:cs="Arial"/>
                <w:sz w:val="20"/>
                <w:szCs w:val="20"/>
              </w:rPr>
              <w:t>W  (</w:t>
            </w:r>
            <w:proofErr w:type="gramEnd"/>
            <w:r>
              <w:rPr>
                <w:rFonts w:ascii="Arial" w:hAnsi="Arial" w:cs="Arial"/>
                <w:sz w:val="20"/>
                <w:szCs w:val="20"/>
              </w:rPr>
              <w:t>tungsten)</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 </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proofErr w:type="gramStart"/>
            <w:r>
              <w:rPr>
                <w:rFonts w:ascii="Arial" w:hAnsi="Arial" w:cs="Arial"/>
                <w:sz w:val="20"/>
                <w:szCs w:val="20"/>
              </w:rPr>
              <w:t>V  (</w:t>
            </w:r>
            <w:proofErr w:type="gramEnd"/>
            <w:r>
              <w:rPr>
                <w:rFonts w:ascii="Arial" w:hAnsi="Arial" w:cs="Arial"/>
                <w:sz w:val="20"/>
                <w:szCs w:val="20"/>
              </w:rPr>
              <w:t>vanadium)</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0.10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many plants at relatively low concentrations.</w:t>
            </w:r>
          </w:p>
        </w:tc>
      </w:tr>
      <w:tr w:rsidR="0030595C" w:rsidTr="0030595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rPr>
                <w:rFonts w:ascii="Arial" w:hAnsi="Arial" w:cs="Arial"/>
                <w:sz w:val="20"/>
                <w:szCs w:val="20"/>
              </w:rPr>
            </w:pPr>
            <w:r>
              <w:rPr>
                <w:rFonts w:ascii="Arial" w:hAnsi="Arial" w:cs="Arial"/>
                <w:sz w:val="20"/>
                <w:szCs w:val="20"/>
              </w:rPr>
              <w:t>Zn (zinc)</w:t>
            </w:r>
          </w:p>
        </w:tc>
        <w:tc>
          <w:tcPr>
            <w:tcW w:w="0" w:type="auto"/>
            <w:tcBorders>
              <w:top w:val="outset" w:sz="6" w:space="0" w:color="auto"/>
              <w:left w:val="outset" w:sz="6" w:space="0" w:color="auto"/>
              <w:bottom w:val="outset" w:sz="6" w:space="0" w:color="auto"/>
              <w:right w:val="outset" w:sz="6" w:space="0" w:color="auto"/>
            </w:tcBorders>
            <w:hideMark/>
          </w:tcPr>
          <w:p w:rsidR="0030595C" w:rsidRDefault="0030595C">
            <w:pPr>
              <w:jc w:val="center"/>
              <w:rPr>
                <w:rFonts w:ascii="Arial" w:hAnsi="Arial" w:cs="Arial"/>
                <w:sz w:val="20"/>
                <w:szCs w:val="20"/>
              </w:rPr>
            </w:pPr>
            <w:r>
              <w:rPr>
                <w:rFonts w:ascii="Arial" w:hAnsi="Arial" w:cs="Arial"/>
                <w:sz w:val="20"/>
                <w:szCs w:val="20"/>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30595C" w:rsidRDefault="0030595C">
            <w:pPr>
              <w:rPr>
                <w:rFonts w:ascii="Arial" w:hAnsi="Arial" w:cs="Arial"/>
                <w:sz w:val="20"/>
                <w:szCs w:val="20"/>
              </w:rPr>
            </w:pPr>
            <w:r>
              <w:rPr>
                <w:rFonts w:ascii="Arial" w:hAnsi="Arial" w:cs="Arial"/>
                <w:sz w:val="20"/>
                <w:szCs w:val="20"/>
              </w:rPr>
              <w:t>Toxic to many plants at widely varying concentrations; reduced toxicity at pH &gt; 6.0 and in fine textured or organic soils.</w:t>
            </w:r>
          </w:p>
        </w:tc>
      </w:tr>
    </w:tbl>
    <w:p w:rsidR="0030595C" w:rsidRDefault="0030595C" w:rsidP="0030595C">
      <w:pPr>
        <w:pStyle w:val="NormalWeb"/>
        <w:spacing w:before="0" w:after="0"/>
        <w:rPr>
          <w:rFonts w:ascii="Arial" w:hAnsi="Arial" w:cs="Arial"/>
          <w:color w:val="000000"/>
          <w:sz w:val="22"/>
          <w:szCs w:val="22"/>
        </w:rPr>
      </w:pPr>
      <w:bookmarkStart w:id="1" w:name="19note1"/>
      <w:r>
        <w:rPr>
          <w:rFonts w:ascii="Arial" w:hAnsi="Arial" w:cs="Arial"/>
          <w:color w:val="000000"/>
          <w:sz w:val="16"/>
          <w:szCs w:val="16"/>
          <w:vertAlign w:val="superscript"/>
        </w:rPr>
        <w:t>1</w:t>
      </w:r>
      <w:r>
        <w:rPr>
          <w:rStyle w:val="apple-converted-space"/>
          <w:rFonts w:ascii="Arial" w:hAnsi="Arial" w:cs="Arial"/>
          <w:color w:val="000000"/>
          <w:sz w:val="16"/>
          <w:szCs w:val="16"/>
        </w:rPr>
        <w:t> </w:t>
      </w:r>
      <w:r>
        <w:rPr>
          <w:rFonts w:ascii="Arial" w:hAnsi="Arial" w:cs="Arial"/>
          <w:color w:val="000000"/>
          <w:sz w:val="16"/>
          <w:szCs w:val="16"/>
        </w:rPr>
        <w:t>Adapted from National Academy of Sciences (1972) and Pratt (1972).</w:t>
      </w:r>
      <w:bookmarkEnd w:id="1"/>
    </w:p>
    <w:p w:rsidR="0030595C" w:rsidRDefault="0030595C" w:rsidP="0030595C">
      <w:pPr>
        <w:pStyle w:val="NormalWeb"/>
        <w:spacing w:before="0" w:after="0"/>
        <w:rPr>
          <w:rFonts w:ascii="Arial" w:hAnsi="Arial" w:cs="Arial"/>
          <w:color w:val="000000"/>
          <w:sz w:val="22"/>
          <w:szCs w:val="22"/>
        </w:rPr>
      </w:pPr>
      <w:bookmarkStart w:id="2" w:name="19note2"/>
      <w:r>
        <w:rPr>
          <w:rFonts w:ascii="Arial" w:hAnsi="Arial" w:cs="Arial"/>
          <w:color w:val="000000"/>
          <w:sz w:val="16"/>
          <w:szCs w:val="16"/>
          <w:vertAlign w:val="superscript"/>
        </w:rPr>
        <w:t>2</w:t>
      </w:r>
      <w:r>
        <w:rPr>
          <w:rStyle w:val="apple-converted-space"/>
          <w:rFonts w:ascii="Arial" w:hAnsi="Arial" w:cs="Arial"/>
          <w:color w:val="000000"/>
          <w:sz w:val="16"/>
          <w:szCs w:val="16"/>
        </w:rPr>
        <w:t> </w:t>
      </w:r>
      <w:r>
        <w:rPr>
          <w:rFonts w:ascii="Arial" w:hAnsi="Arial" w:cs="Arial"/>
          <w:color w:val="000000"/>
          <w:sz w:val="16"/>
          <w:szCs w:val="16"/>
        </w:rPr>
        <w:t xml:space="preserve">The maximum concentration is based on a water application rate which is consistent with </w:t>
      </w:r>
      <w:proofErr w:type="spellStart"/>
      <w:r>
        <w:rPr>
          <w:rFonts w:ascii="Arial" w:hAnsi="Arial" w:cs="Arial"/>
          <w:color w:val="000000"/>
          <w:sz w:val="16"/>
          <w:szCs w:val="16"/>
        </w:rPr>
        <w:t>goodirrigation</w:t>
      </w:r>
      <w:proofErr w:type="spellEnd"/>
      <w:r>
        <w:rPr>
          <w:rFonts w:ascii="Arial" w:hAnsi="Arial" w:cs="Arial"/>
          <w:color w:val="000000"/>
          <w:sz w:val="16"/>
          <w:szCs w:val="16"/>
        </w:rPr>
        <w:t xml:space="preserve"> practices (10 000 m</w:t>
      </w:r>
      <w:r>
        <w:rPr>
          <w:rFonts w:ascii="Arial" w:hAnsi="Arial" w:cs="Arial"/>
          <w:color w:val="000000"/>
          <w:sz w:val="16"/>
          <w:szCs w:val="16"/>
          <w:vertAlign w:val="superscript"/>
        </w:rPr>
        <w:t>3</w:t>
      </w:r>
      <w:r>
        <w:rPr>
          <w:rStyle w:val="apple-converted-space"/>
          <w:rFonts w:ascii="Arial" w:hAnsi="Arial" w:cs="Arial"/>
          <w:color w:val="000000"/>
          <w:sz w:val="16"/>
          <w:szCs w:val="16"/>
        </w:rPr>
        <w:t> </w:t>
      </w:r>
      <w:r>
        <w:rPr>
          <w:rFonts w:ascii="Arial" w:hAnsi="Arial" w:cs="Arial"/>
          <w:color w:val="000000"/>
          <w:sz w:val="16"/>
          <w:szCs w:val="16"/>
        </w:rPr>
        <w:t>per hectare per year). If the water application rate greatly exceeds this, the maximum concentrations should be adjusted downward accordingly. No adjustment should be made for application rates less than 10 000 m</w:t>
      </w:r>
      <w:r>
        <w:rPr>
          <w:rFonts w:ascii="Arial" w:hAnsi="Arial" w:cs="Arial"/>
          <w:color w:val="000000"/>
          <w:sz w:val="16"/>
          <w:szCs w:val="16"/>
          <w:vertAlign w:val="superscript"/>
        </w:rPr>
        <w:t>3</w:t>
      </w:r>
      <w:r>
        <w:rPr>
          <w:rStyle w:val="apple-converted-space"/>
          <w:rFonts w:ascii="Arial" w:hAnsi="Arial" w:cs="Arial"/>
          <w:color w:val="000000"/>
          <w:sz w:val="16"/>
          <w:szCs w:val="16"/>
        </w:rPr>
        <w:t> </w:t>
      </w:r>
      <w:r>
        <w:rPr>
          <w:rFonts w:ascii="Arial" w:hAnsi="Arial" w:cs="Arial"/>
          <w:color w:val="000000"/>
          <w:sz w:val="16"/>
          <w:szCs w:val="16"/>
        </w:rPr>
        <w:t>per hectare per year. The values given are for water used on a continuous basis at one site.</w:t>
      </w:r>
      <w:bookmarkEnd w:id="2"/>
    </w:p>
    <w:p w:rsidR="0030595C" w:rsidRPr="0030595C" w:rsidRDefault="0030595C">
      <w:pPr>
        <w:rPr>
          <w:lang w:val="en-CA"/>
        </w:rPr>
      </w:pPr>
      <w:bookmarkStart w:id="3" w:name="_GoBack"/>
      <w:bookmarkEnd w:id="3"/>
    </w:p>
    <w:sectPr w:rsidR="0030595C" w:rsidRPr="003059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95C"/>
    <w:rsid w:val="0030595C"/>
    <w:rsid w:val="0067219E"/>
    <w:rsid w:val="00CE7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8BBB7"/>
  <w15:chartTrackingRefBased/>
  <w15:docId w15:val="{5BE6E24D-96FE-4397-9D25-F7B6DE427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595C"/>
    <w:rPr>
      <w:color w:val="0563C1" w:themeColor="hyperlink"/>
      <w:u w:val="single"/>
    </w:rPr>
  </w:style>
  <w:style w:type="character" w:customStyle="1" w:styleId="apple-converted-space">
    <w:name w:val="apple-converted-space"/>
    <w:basedOn w:val="DefaultParagraphFont"/>
    <w:rsid w:val="0030595C"/>
  </w:style>
  <w:style w:type="paragraph" w:styleId="NormalWeb">
    <w:name w:val="Normal (Web)"/>
    <w:basedOn w:val="Normal"/>
    <w:uiPriority w:val="99"/>
    <w:semiHidden/>
    <w:unhideWhenUsed/>
    <w:rsid w:val="0030595C"/>
    <w:pPr>
      <w:spacing w:before="100" w:beforeAutospacing="1" w:after="100" w:afterAutospacing="1" w:line="240" w:lineRule="auto"/>
    </w:pPr>
    <w:rPr>
      <w:rFonts w:ascii="Times New Roman" w:eastAsia="Times New Roman" w:hAnsi="Times New Roman" w:cs="Times New Roman"/>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64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o.org/docrep/003/T0234E/T0234E06.htm" TargetMode="External"/><Relationship Id="rId5" Type="http://schemas.openxmlformats.org/officeDocument/2006/relationships/hyperlink" Target="http://www.fao.org/docrep/003/T0234E/T0234E06.htm" TargetMode="External"/><Relationship Id="rId4" Type="http://schemas.openxmlformats.org/officeDocument/2006/relationships/hyperlink" Target="http://www.fao.org/docrep/003/T0234E/T0234E06.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Nunn</dc:creator>
  <cp:keywords/>
  <dc:description/>
  <cp:lastModifiedBy>Cara Nunn</cp:lastModifiedBy>
  <cp:revision>1</cp:revision>
  <dcterms:created xsi:type="dcterms:W3CDTF">2016-07-15T21:17:00Z</dcterms:created>
  <dcterms:modified xsi:type="dcterms:W3CDTF">2016-07-15T21:19:00Z</dcterms:modified>
</cp:coreProperties>
</file>